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ª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edici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n del Informe anual de SoftDoit sobre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Estado del Software de Recursos Humanos desde el punto de vista del fabricante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”</w:t>
      </w:r>
    </w:p>
    <w:p>
      <w:pPr>
        <w:pStyle w:val="Cuerp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Style w:val="Ninguno"/>
          <w:rFonts w:ascii="Calibri" w:cs="Calibri" w:hAnsi="Calibri" w:eastAsia="Calibri"/>
          <w:b w:val="1"/>
          <w:bCs w:val="1"/>
          <w:sz w:val="36"/>
          <w:szCs w:val="36"/>
          <w:rtl w:val="0"/>
          <w:lang w:val="es-ES_tradnl"/>
        </w:rPr>
        <w:t xml:space="preserve">El software de Recursos Humanos se sube a la nube </w:t>
      </w:r>
    </w:p>
    <w:p>
      <w:pPr>
        <w:pStyle w:val="Cuerpo"/>
        <w:rPr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8"/>
          <w:szCs w:val="28"/>
          <w:u w:val="none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9 de cada 10 empresas afirman que el software de RRHH en la nube es el futuro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Cerca del 74% de los proveedores asegura que incrementaron sus ventas de soluciones de RRHH el a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o pasado</w:t>
      </w: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Barcelona, 27 de febrero de 2018.-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El comparador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de software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y Latinoam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 xml:space="preserve">rica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"https://www.softwaredoit.es/recursos-humanos/index.html"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SoftDoit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ha presentado hoy el segundo informe anual sobre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Estado del Software de Recursos Humanos desde el punto de vista del fabricante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.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el estudio han participado empresas proveedoras de estas soluciones, de las que casi el 70%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especializadas en este sector, mientras que el 39,1%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venden otro tipo de software.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Una de las principales conclusiones del estudio es que cerca del 74% de los proveedores ha incrementado las ventas de soluciones de software de RRHH a lo largo de 2017. Preguntados por sus previsiones para este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o, el 69,5% cree que las ventas crecer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entre un 10% y un 30%.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cuanto al futuro del software de RRHH en la nube, el 78,3%, afirma que el cloud computing ya es el futuro. El 13% opina que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quedan entre 2 y 5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os para que sea una realidad.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Respecto a las modalidades de alojamiento del software de RRHH, cerca del 48% afirma que solo vende sus soluciones en la nube, mientras que el 43,3% ofrece ambas opciones: almacenamiento en la nube y en los servidores de la empresa.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aquellos fabricantes que ofrecen tanto la modalidad de almacenamiento en la nube como en el servidor, se les ha preguntado qu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porcentaje de implantaciones son cloud. El 40% afirma que entre el 50% y el 100% de implantaciones son cloud, mientras que un 10% asegura que lo son entre el 25% y el 50% de los casos. Finalmente, un 50% ha respondido que menos del 25% de las implantaciones que realizan son cloud.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Otro dato interesante de este estudio es el que se refiere al modo de acceso al software de RRHH. La mayor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a, el 78,3% asegura que su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RRHH es web, y que se puede acceder a ella mediante un navegador como Google Chrome o FireFox. Tan solo un 21,7% afirma que su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no es accesible desde navegadores web.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SoftDoit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ha preguntado a los proveedores si disponen de una App para acceder a la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mediante el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vil: el 43,5% alega que no tiene App, pero que su software de RRHH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optimizado para acceder desde el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vil. El 13% dice que tiene una App para todos los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dulos, frente al 30,4% que afirma que tiene una solo para algunos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dulos.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Por otra parte, en cuanto a las facilidades que ofrecen a nivel de pago a los clientes, el 34,8% ofrece la modalidad de pago por uso (SaaS), mientras que el 52,2% ofrece tanto el pago por uso (SaaS), como el pago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nico. Por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ltimo, el 13% ofrece solo el pago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nico a sus clientes.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Uno de los grandes desaf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os en el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rea de las soluciones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es el cumplimiento del presupuesto inicial, que el cliente aprueba antes de la implantaci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n, ya que en muchas ocasiones hay que modificarlo. Encuestados por este tema, poco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 del 39% de los fabricantes de soluciones de RRHH asegura que se acaba cumpliendo en el 85% y el 99% de los proyectos. El 21,7% afirma que en menos del 85% de los proyectos se acaba cumpliendo, frente al 13% que asegura que en el 100% de los casos ese presupuesto no se modifica y se cumple.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referencia al tiempo que un cliente tarda en cambiar de soluciones de RRHH, el 70,6% tarda 8 o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>s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os en hacerlo y cerca del 29,4% lo hace cada 5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os.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Por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ltimo, respecto al tiempo medio de Retorno de la Inversi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un proyecto de software de RRHH, el 39,1% lo sit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entre 1 y 2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os, un 21,7% entre 6 meses y 1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o, y poco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del 4% entre  3 y 6 meses. Un 4,3% asegura que tarda menos de un mes en rentabilizar la inversi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inicial, frente al 8,7% que asegura que tarda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>s de 2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os.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Entre los proveedores que han participado en esta nueva edici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>n del informe destacan Altamira HRM, aonSolutions, Bizneo HR Solutions, Cezanne HR, CPI Soluciones, Unit4, PGPlanning, Grupo Conektia, Grupo i68, OpenHR, Opziona, Savia, SDP Ib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rica, Softland Capital Humano, Solmicro, Summar, Talent Clue, Talentia, Trabajando.com y Yunbit.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El estudio completo se puede descargar desde el siguiente enlace: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"http://www.softwaredoit.es/estudios/"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 www.softwaredoit.es/estudios/</w:t>
      </w:r>
      <w:r>
        <w:rPr/>
        <w:fldChar w:fldCharType="end" w:fldLock="0"/>
      </w: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Acerca de SoftDoit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"https://www.softwaredoit.es"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https://www.softwaredoit.es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SoftDoit es el comparador de software que naci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2012 en Barcelona y que actualmente es el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a, Italia y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xico.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presente en Francia y Reino Unido.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Con una sencilla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squeda,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ayuda a los profesionales a encontrar la mejor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>n inform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tica. Para ello, la plataforma genera de forma gratuita y neutral un ranking totalmente personalizado con las mejores opciones del mercado, ya que tiene en cuenta su sector, su tama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y sus requerimientos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gicos. El comparador compara entre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1.000 soluciones distintas y encuentra las 3 que ofrecen exactamente lo que esa empresa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buscando.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lanza mes a mes nuevas opciones de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squeda, y en la actualidad ya cuenta con comparadores de software para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500 sectores y 16 tipos de soluciones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gicas como por ejemplo CRM (Marketing y ventas), ERP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empresarial), SGA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almacenes), e-learning, TPV, Recursos Humanos,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fr-FR"/>
        </w:rPr>
        <w:t xml:space="preserve">n de flotas, contact center, e-commerce, etc.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Nosotros no les decimos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software del mundo, sino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para su negocio de forma gratuita y neutral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"http://www.softdoit.com"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www.softdoit.com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Twitter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"https://twitter.com/softdoit_es?lang=en"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@SoftDoit_es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"https://www.softwaredoit.com/ironbusiness/"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IronBusiness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"https://twitter.com/ironbusiness_es"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 IronBusiness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"https://www.linkedin.com/company/softdoit"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SoftDoit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"https://es-es.facebook.com/SoftDoit/"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Facebook SoftDoit </w:t>
      </w:r>
      <w:r>
        <w:rPr/>
        <w:fldChar w:fldCharType="end" w:fldLock="0"/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Contacto: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Adriana Urrea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Comunicaci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n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Tel. +34 91 198 20 00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"mailto:aurrea@softdot.com"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aurrea@softdot.com </w:t>
      </w:r>
      <w:r>
        <w:rPr/>
        <w:fldChar w:fldCharType="end" w:fldLock="0"/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color w:val="1155cc"/>
      <w:sz w:val="24"/>
      <w:szCs w:val="24"/>
      <w:u w:val="single" w:color="1155cc"/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olor w:val="1155cc"/>
      <w:sz w:val="24"/>
      <w:szCs w:val="24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