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ª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edici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n del Estudio de SoftDoit sobre El uso de software ERP en Espa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 (2017)</w:t>
      </w:r>
    </w:p>
    <w:p>
      <w:pPr>
        <w:pStyle w:val="Cuerpo"/>
        <w:rPr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Dos de cada tres empresas ya conf</w:t>
      </w: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an en la nube para su software de gesti</w:t>
      </w: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n ERP</w:t>
      </w:r>
    </w:p>
    <w:p>
      <w:pPr>
        <w:pStyle w:val="Cuerpo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El 78% de las compa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ñí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as cuenta con un acceso directo a su sistema de gesti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n empresarial.</w:t>
      </w:r>
    </w:p>
    <w:p>
      <w:pPr>
        <w:pStyle w:val="Cuerp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El 26,8% de las empresas utiliza el mismo software ERP desde hace m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s de 10 a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os.</w:t>
      </w:r>
    </w:p>
    <w:p>
      <w:pPr>
        <w:pStyle w:val="Cuerpo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Barcelona, 30 de enero de 2018.-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El comparador 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der de software en Espa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y Latinoam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it-IT"/>
        </w:rPr>
        <w:t xml:space="preserve">rica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SoftDoit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ha presentado hoy la primera edici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del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Estudio sobre el uso de software ERP en Espa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>a (2017)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Entre las principales conclusiones del estudio, que ha sido presentado por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Bernat Vicens, Responsable del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rea ERP del comparador de software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, destaca que el 65,9% de las empresas que han participado en el informe tiene su ERP alojado en la nube; mientras que el 34,1% todav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lo almacena en los servidores de la compa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it-IT"/>
        </w:rPr>
        <w:t xml:space="preserve">a.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el estudio han participado 100 empresas, de las cuales el 82% dispone de un sistema ERP, y tan solo un 18% todav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no ha implantado un software de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n empresarial.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color w:val="ff0000"/>
          <w:sz w:val="24"/>
          <w:szCs w:val="24"/>
          <w:u w:color="ff0000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La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anual del 60% de las compa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as encuestadas es de 1 a 2 millones de euros. El 35% de los consultados factura de 2 a 5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€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, el 12% de 5 a 10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€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y el 7% tiene una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nl-NL"/>
        </w:rPr>
        <w:t>n de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>s de 20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€ 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>al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it-IT"/>
        </w:rPr>
        <w:t xml:space="preserve">o.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  <w:shd w:val="clear" w:color="auto" w:fill="ffff00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las empresas que no ten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an implantado un software de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n, se les ha preguntado por qu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han desestimado la implantaci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un ERP. El 33,3% de estas compa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>as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buscando un ERP, mientras que el 27,7% considera que no es prioritario o necesario, y el 38,8% no lo ha implantado por otros motivos. Respecto a si tienen previsto implantar un ERP en un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 vista, el 44,4% ha asegurado que s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, frente al otro 44,4% que no tiene intenci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>n de instalarlo.</w:t>
      </w:r>
      <w:r>
        <w:rPr>
          <w:rStyle w:val="Ninguno"/>
          <w:rFonts w:ascii="Calibri" w:cs="Calibri" w:hAnsi="Calibri" w:eastAsia="Calibri"/>
          <w:sz w:val="24"/>
          <w:szCs w:val="24"/>
          <w:shd w:val="clear" w:color="auto" w:fill="ffff00"/>
          <w:rtl w:val="0"/>
        </w:rPr>
        <w:t xml:space="preserve">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esta primera edici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del estudio sobre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El uso de software ERP en Espa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>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, se ha preguntado a las empresas con qu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proveedor trabajan. La mayor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de las compa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as trabajan con SAGE o SAP. El resto de empresas encuestadas afirman trabajar con proveedores como A3 Wolters Kluwer, G2 Software, MC Software, Diagram, Distrito K, Eurowin, Factusol o Microsoft Navision entre otros.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color w:val="ff0000"/>
          <w:sz w:val="24"/>
          <w:szCs w:val="24"/>
          <w:u w:color="ff0000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Otro dato de inter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es que de las compa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as encuestadas, el 74,4% no tiene integrado su ERP con otras soluciones; mientras que un 14,6% alega tenerlo integrado con todas sus soluciones, y un 9,8% lo tiene integrado solo con algunas.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color w:val="ff0000"/>
          <w:sz w:val="24"/>
          <w:szCs w:val="24"/>
          <w:u w:color="ff0000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Por otra parte, se les ha preguntado desde d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nde acceden al software ERP. El 78% tiene un acceso directo a su sistema de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y el 20,7% accede mediante un navegador web.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En referencia a la modalidad en que disponen de su ERP, el 64,6% alega que hizo un pago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nico y ahora solo pagan el mantenimiento. Un 30,5% paga de forma mensual, en funci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it-IT"/>
        </w:rPr>
        <w:t>n del n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mero de usuarios, y tan solo un 4,9% afirma que no paga mantenimiento, por lo que su software no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actualizado.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cuanto a la antig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ü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edad de su ERP, el 29,2% apunta que su software tiene entre 1 y 7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os. El 28% de las empresas que han participado en el informe asegura que hace menos de 1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 que implant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 su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n, mientras que el 26,8% utiliza el mismo software desde hace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>s de 10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os. Un 9,8% afirma que su ERP tiene entre 7 y 10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os, y tan solo el 6,1% alega que su software de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tiene entre 3 y 5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os.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Preguntados por si tienen pensado cambiar su ERP, el 64% sostiene que no tiene intenci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cambiar de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n. No obstante, el 23,2% s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tiene pensado cambiar de software en menos de un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o; y el 11% pretende hacerlo en uno o dos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os.  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Finalmente, preguntadas acerca del nivel de crecimiento de la empresa en 2017, el 32% de las compa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as afirma que su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ha aumentado hasta un 10% este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o; mientras que el 20%</w:t>
      </w:r>
      <w:r>
        <w:rPr>
          <w:rStyle w:val="Ninguno"/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 xml:space="preserve">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ha crecido entre un 10% y un 20%. El 16% manifiesta que incrementado su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>n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un 20%, y el 29% se ha mantenido igual que el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 anterior. Un 2% ha decrecido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s de un 20% y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nicamente el 1% asegura que su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ha bajado un 10%.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El estudio completo se puede descargar desde el siguiente enlace: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"http://www.softwaredoit.es/estudios/"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 www.softwaredoit.es/estudios/</w:t>
      </w:r>
      <w:r>
        <w:rPr/>
        <w:fldChar w:fldCharType="end" w:fldLock="0"/>
      </w:r>
    </w:p>
    <w:p>
      <w:pPr>
        <w:pStyle w:val="Cuerp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Acerca de SoftDoit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"https://www.softwaredoit.es"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https://www.softwaredoit.es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SoftDoit es el comparador de software que naci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2012 en Barcelona y que actualmente es el 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der en Espa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a, Italia y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xico. Tambi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presente en Francia y Reino Unido.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Con una sencilla b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squeda,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SoftDoit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 ayuda a los profesionales a encontrar la mejor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>n inform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tica. Para ello, la plataforma genera de forma gratuita y neutral un ranking totalmente personalizado con las mejores opciones del mercado, ya que tiene en cuenta su sector, su tama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 y sus requerimientos tecnol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gicos. El comparador compara entre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1.000 soluciones distintas y encuentra las 3 que ofrecen exactamente lo que esa empresa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buscando.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SoftDoit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 lanza mes a mes nuevas opciones de b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squeda, y en la actualidad ya cuenta con comparadores de software para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500 sectores y 16 tipos de soluciones tecnol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gicas como por ejemplo CRM (Marketing y ventas), ERP (Gesti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empresarial), SGA (gesti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almacenes), e-learning, TPV, Recursos Humanos,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fr-FR"/>
        </w:rPr>
        <w:t xml:space="preserve">n de flotas, contact center, e-commerce, etc.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Nosotros no les decimos cu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 es el mejor software del mundo, sino cu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 es el mejor para su negocio de forma gratuita y neutral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SoftDoit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"http://www.softdoit.com"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www.softdoit.com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Twitter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"https://twitter.com/softdoit_es?lang=en"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@SoftDoit_es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"https://www.softwaredoit.com/ironbusiness/"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IronBusiness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"https://twitter.com/ironbusiness_es"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Twitter IronBusiness</w:t>
      </w:r>
      <w:r>
        <w:rPr/>
        <w:fldChar w:fldCharType="end" w:fldLock="0"/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"https://www.linkedin.com/company/softdoit"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LinkedIn SoftDoit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"https://www.linkedin.com/in/bernat-vicens-carles-b40a0874/"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LinkedIn Bernat Vicens </w:t>
      </w:r>
      <w:r>
        <w:rPr/>
        <w:fldChar w:fldCharType="end" w:fldLock="0"/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"https://es-es.facebook.com/SoftDoit/"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Facebook SoftDoit </w:t>
      </w:r>
      <w:r>
        <w:rPr/>
        <w:fldChar w:fldCharType="end" w:fldLock="0"/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Contacto: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Adriana Urrea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SoftDoit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Comunicaci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n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Tel. +34 91 198 20 00 </w:t>
      </w:r>
    </w:p>
    <w:p>
      <w:pPr>
        <w:pStyle w:val="Cuerpo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"mailto:aurrea@softdot.com"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 xml:space="preserve">aurrea@softdot.com 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b w:val="1"/>
      <w:bCs w:val="1"/>
      <w:color w:val="1155cc"/>
      <w:sz w:val="24"/>
      <w:szCs w:val="24"/>
      <w:u w:val="single" w:color="1155cc"/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color w:val="1155cc"/>
      <w:sz w:val="24"/>
      <w:szCs w:val="24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